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B8A" w14:textId="559F4F77" w:rsidR="00786C85" w:rsidRPr="00E71B6D" w:rsidRDefault="00894309" w:rsidP="00AE721C">
      <w:pPr>
        <w:spacing w:after="120" w:line="360" w:lineRule="auto"/>
        <w:contextualSpacing/>
        <w:rPr>
          <w:rFonts w:ascii="Times New Roman" w:hAnsi="Times New Roman"/>
          <w:color w:val="6AA03A"/>
          <w:sz w:val="16"/>
          <w:szCs w:val="16"/>
        </w:rPr>
      </w:pPr>
      <w:r>
        <w:rPr>
          <w:rFonts w:ascii="Times New Roman" w:hAnsi="Times New Roman"/>
          <w:noProof/>
          <w:color w:val="6AA03A"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 wp14:anchorId="3A6447C3" wp14:editId="1DD9D2F0">
            <wp:simplePos x="0" y="0"/>
            <wp:positionH relativeFrom="column">
              <wp:posOffset>347345</wp:posOffset>
            </wp:positionH>
            <wp:positionV relativeFrom="paragraph">
              <wp:posOffset>-1371600</wp:posOffset>
            </wp:positionV>
            <wp:extent cx="5059680" cy="1358265"/>
            <wp:effectExtent l="0" t="0" r="0" b="0"/>
            <wp:wrapTopAndBottom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 w:hAnsi="Times New Roman"/>
          <w:noProof/>
          <w:sz w:val="20"/>
          <w:szCs w:val="20"/>
        </w:rPr>
        <w:pict w14:anchorId="2A8B3E6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9.55pt;margin-top:-43.55pt;width:241.1pt;height:44.8pt;z-index:251658240;mso-position-horizontal-relative:text;mso-position-vertical-relative:text;mso-width-relative:margin;mso-height-relative:margin" filled="f" stroked="f">
            <v:textbox style="mso-next-textbox:#_x0000_s1033" inset="0,0,0,0">
              <w:txbxContent>
                <w:p w14:paraId="2D9292C1" w14:textId="77777777" w:rsidR="009F464D" w:rsidRPr="00E71B6D" w:rsidRDefault="009F464D">
                  <w:pPr>
                    <w:rPr>
                      <w:rFonts w:ascii="Times New Roman" w:hAnsi="Times New Roman"/>
                      <w:b/>
                      <w:color w:val="6AA03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9BECBAA" w14:textId="77777777" w:rsidR="005C52DD" w:rsidRPr="006A52A6" w:rsidRDefault="005C52DD" w:rsidP="005C52DD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6A52A6">
        <w:rPr>
          <w:b/>
          <w:color w:val="4F6228" w:themeColor="accent3" w:themeShade="80"/>
          <w:sz w:val="24"/>
          <w:szCs w:val="24"/>
        </w:rPr>
        <w:t>Checkliste für Prüfungsleiter zur Vorberei</w:t>
      </w:r>
      <w:r w:rsidR="0054289A" w:rsidRPr="006A52A6">
        <w:rPr>
          <w:b/>
          <w:color w:val="4F6228" w:themeColor="accent3" w:themeShade="80"/>
          <w:sz w:val="24"/>
          <w:szCs w:val="24"/>
        </w:rPr>
        <w:t>tung, Durchführung und Nachber</w:t>
      </w:r>
      <w:r w:rsidR="00FE7992" w:rsidRPr="006A52A6">
        <w:rPr>
          <w:b/>
          <w:color w:val="4F6228" w:themeColor="accent3" w:themeShade="80"/>
          <w:sz w:val="24"/>
          <w:szCs w:val="24"/>
        </w:rPr>
        <w:t>eitung einer Eignungs</w:t>
      </w:r>
      <w:r w:rsidRPr="006A52A6">
        <w:rPr>
          <w:b/>
          <w:color w:val="4F6228" w:themeColor="accent3" w:themeShade="80"/>
          <w:sz w:val="24"/>
          <w:szCs w:val="24"/>
        </w:rPr>
        <w:t>prüfung</w:t>
      </w:r>
    </w:p>
    <w:p w14:paraId="37980AE1" w14:textId="77777777" w:rsidR="005C52DD" w:rsidRPr="006A52A6" w:rsidRDefault="005C52DD" w:rsidP="005C52DD">
      <w:pPr>
        <w:pStyle w:val="KeinLeerraum"/>
        <w:rPr>
          <w:color w:val="4F6228" w:themeColor="accent3" w:themeShade="80"/>
        </w:rPr>
      </w:pPr>
    </w:p>
    <w:p w14:paraId="5EE63693" w14:textId="77777777" w:rsidR="005C52DD" w:rsidRPr="006A52A6" w:rsidRDefault="006D487A" w:rsidP="005C52DD">
      <w:pPr>
        <w:pStyle w:val="KeinLeerraum"/>
        <w:rPr>
          <w:b/>
          <w:i/>
          <w:color w:val="4F6228" w:themeColor="accent3" w:themeShade="80"/>
        </w:rPr>
      </w:pPr>
      <w:r w:rsidRPr="006A52A6">
        <w:rPr>
          <w:b/>
          <w:i/>
          <w:color w:val="4F6228" w:themeColor="accent3" w:themeShade="80"/>
        </w:rPr>
        <w:t>1</w:t>
      </w:r>
      <w:r w:rsidR="005C52DD" w:rsidRPr="006A52A6">
        <w:rPr>
          <w:b/>
          <w:i/>
          <w:color w:val="4F6228" w:themeColor="accent3" w:themeShade="80"/>
        </w:rPr>
        <w:t>. Voraussetzungen an den Prüfungsleiter</w:t>
      </w:r>
    </w:p>
    <w:p w14:paraId="40C88144" w14:textId="77777777" w:rsidR="006A52A6" w:rsidRDefault="006A52A6" w:rsidP="006D487A">
      <w:pPr>
        <w:pStyle w:val="KeinLeerraum"/>
        <w:numPr>
          <w:ilvl w:val="0"/>
          <w:numId w:val="1"/>
        </w:numPr>
      </w:pPr>
      <w:r>
        <w:t>JGHV-Richter</w:t>
      </w:r>
    </w:p>
    <w:p w14:paraId="6713DBB4" w14:textId="02EBC2D5" w:rsidR="005C52DD" w:rsidRDefault="005C52DD" w:rsidP="006D487A">
      <w:pPr>
        <w:pStyle w:val="KeinLeerraum"/>
        <w:numPr>
          <w:ilvl w:val="0"/>
          <w:numId w:val="1"/>
        </w:numPr>
      </w:pPr>
      <w:r>
        <w:t>Jagdschein</w:t>
      </w:r>
      <w:r w:rsidR="00677F7C">
        <w:t>in</w:t>
      </w:r>
      <w:r>
        <w:t>haber</w:t>
      </w:r>
    </w:p>
    <w:p w14:paraId="7FE06599" w14:textId="77777777" w:rsidR="005C52DD" w:rsidRDefault="005C52DD" w:rsidP="006D487A">
      <w:pPr>
        <w:pStyle w:val="KeinLeerraum"/>
        <w:numPr>
          <w:ilvl w:val="0"/>
          <w:numId w:val="1"/>
        </w:numPr>
      </w:pPr>
      <w:r>
        <w:t>darf nicht gleichzeitig als Hundeführer agieren</w:t>
      </w:r>
    </w:p>
    <w:p w14:paraId="5EA69D49" w14:textId="77777777" w:rsidR="006A52A6" w:rsidRDefault="006A52A6" w:rsidP="006D487A">
      <w:pPr>
        <w:pStyle w:val="KeinLeerraum"/>
        <w:numPr>
          <w:ilvl w:val="0"/>
          <w:numId w:val="1"/>
        </w:numPr>
      </w:pPr>
      <w:r>
        <w:t>soweit der Prüfungsleiter als Richter eingesetzt wird, soll er nicht auch Richterobmann sein</w:t>
      </w:r>
    </w:p>
    <w:p w14:paraId="38ECD95B" w14:textId="77777777" w:rsidR="005C52DD" w:rsidRPr="005C52DD" w:rsidRDefault="005C52DD" w:rsidP="005C52DD">
      <w:pPr>
        <w:pStyle w:val="KeinLeerraum"/>
      </w:pPr>
    </w:p>
    <w:p w14:paraId="715B37BF" w14:textId="77777777" w:rsidR="005C52DD" w:rsidRPr="006A52A6" w:rsidRDefault="006D487A" w:rsidP="005C52DD">
      <w:pPr>
        <w:pStyle w:val="KeinLeerraum"/>
        <w:rPr>
          <w:b/>
          <w:i/>
          <w:color w:val="4F6228" w:themeColor="accent3" w:themeShade="80"/>
        </w:rPr>
      </w:pPr>
      <w:r w:rsidRPr="006A52A6">
        <w:rPr>
          <w:b/>
          <w:i/>
          <w:color w:val="4F6228" w:themeColor="accent3" w:themeShade="80"/>
        </w:rPr>
        <w:t>2</w:t>
      </w:r>
      <w:r w:rsidR="005C52DD" w:rsidRPr="006A52A6">
        <w:rPr>
          <w:b/>
          <w:i/>
          <w:color w:val="4F6228" w:themeColor="accent3" w:themeShade="80"/>
        </w:rPr>
        <w:t xml:space="preserve">. </w:t>
      </w:r>
      <w:r w:rsidR="009F464D" w:rsidRPr="006A52A6">
        <w:rPr>
          <w:b/>
          <w:i/>
          <w:color w:val="4F6228" w:themeColor="accent3" w:themeShade="80"/>
        </w:rPr>
        <w:t>Vorbereitung einer Eignungs</w:t>
      </w:r>
      <w:r w:rsidR="005C52DD" w:rsidRPr="006A52A6">
        <w:rPr>
          <w:b/>
          <w:i/>
          <w:color w:val="4F6228" w:themeColor="accent3" w:themeShade="80"/>
        </w:rPr>
        <w:t>prüfung</w:t>
      </w:r>
    </w:p>
    <w:p w14:paraId="5376835C" w14:textId="117137F7" w:rsidR="0054289A" w:rsidRDefault="0054289A" w:rsidP="009F464D">
      <w:pPr>
        <w:pStyle w:val="KeinLeerraum"/>
        <w:numPr>
          <w:ilvl w:val="0"/>
          <w:numId w:val="2"/>
        </w:numPr>
        <w:jc w:val="both"/>
      </w:pPr>
      <w:r>
        <w:t>Anmeldung der Prüfung beim Obmann für das Jagdgebrauchshundwesen des VJT</w:t>
      </w:r>
    </w:p>
    <w:p w14:paraId="049A4CB2" w14:textId="77777777" w:rsidR="005C52DD" w:rsidRDefault="006D487A" w:rsidP="009F464D">
      <w:pPr>
        <w:pStyle w:val="KeinLeerraum"/>
        <w:numPr>
          <w:ilvl w:val="0"/>
          <w:numId w:val="2"/>
        </w:numPr>
        <w:jc w:val="both"/>
      </w:pPr>
      <w:r>
        <w:t xml:space="preserve">Einladung der vom </w:t>
      </w:r>
      <w:r w:rsidR="009F464D">
        <w:t>JGHV anerkannten Richter mit der</w:t>
      </w:r>
      <w:r>
        <w:t xml:space="preserve"> erforde</w:t>
      </w:r>
      <w:r w:rsidR="009F464D">
        <w:t>rlichen Fachgruppe Wald</w:t>
      </w:r>
    </w:p>
    <w:p w14:paraId="2E7D0E33" w14:textId="77777777" w:rsidR="005C52DD" w:rsidRDefault="006D487A" w:rsidP="009F464D">
      <w:pPr>
        <w:pStyle w:val="KeinLeerraum"/>
        <w:numPr>
          <w:ilvl w:val="0"/>
          <w:numId w:val="2"/>
        </w:numPr>
        <w:jc w:val="both"/>
      </w:pPr>
      <w:r>
        <w:t>Anfertigung von Richterbüchern für Richter und Richteranwärter</w:t>
      </w:r>
    </w:p>
    <w:p w14:paraId="0E968396" w14:textId="77777777" w:rsidR="006D487A" w:rsidRDefault="006D487A" w:rsidP="009F464D">
      <w:pPr>
        <w:pStyle w:val="KeinLeerraum"/>
        <w:numPr>
          <w:ilvl w:val="0"/>
          <w:numId w:val="2"/>
        </w:numPr>
        <w:jc w:val="both"/>
      </w:pPr>
      <w:r>
        <w:t>Annahme von Nennungen, inkl. Kopie der Ahnentafel, ggf. Kopie des Impfausweises und Kopie des Jagdscheines</w:t>
      </w:r>
    </w:p>
    <w:p w14:paraId="3F42C8CA" w14:textId="01168004" w:rsidR="00541518" w:rsidRDefault="00541518" w:rsidP="009F464D">
      <w:pPr>
        <w:pStyle w:val="KeinLeerraum"/>
        <w:numPr>
          <w:ilvl w:val="0"/>
          <w:numId w:val="2"/>
        </w:numPr>
        <w:jc w:val="both"/>
      </w:pPr>
      <w:r>
        <w:t>Kontrolle der Nennungen mit den Angaben der Ahnentafel und Überprüfung der geltenden Altersbeschränkung</w:t>
      </w:r>
      <w:r w:rsidR="009F464D">
        <w:t>en bei der Zulassung zur Eignungs</w:t>
      </w:r>
      <w:r>
        <w:t>prüfung</w:t>
      </w:r>
      <w:r w:rsidR="00677F7C">
        <w:t xml:space="preserve"> und Überprüfung der Übernahme der Note für die Schussfestigkeit aus einer vorangegangenen Prüfung</w:t>
      </w:r>
    </w:p>
    <w:p w14:paraId="5739B7A6" w14:textId="38DFA961" w:rsidR="00677F7C" w:rsidRDefault="00677F7C" w:rsidP="009F464D">
      <w:pPr>
        <w:pStyle w:val="KeinLeerraum"/>
        <w:numPr>
          <w:ilvl w:val="0"/>
          <w:numId w:val="2"/>
        </w:numPr>
        <w:jc w:val="both"/>
      </w:pPr>
      <w:r>
        <w:t>Prüfung, inwieweit es sich um eine Wiederholungsprüfung handelt</w:t>
      </w:r>
    </w:p>
    <w:p w14:paraId="001DC92D" w14:textId="77777777" w:rsidR="0043524F" w:rsidRDefault="0043524F" w:rsidP="009F464D">
      <w:pPr>
        <w:pStyle w:val="KeinLeerraum"/>
        <w:numPr>
          <w:ilvl w:val="0"/>
          <w:numId w:val="2"/>
        </w:numPr>
        <w:jc w:val="both"/>
      </w:pPr>
      <w:r>
        <w:t>Überprüfung der Note der Schussfestigkeit mit mindestens der Note 6 (Zulassungsvoraussetzung)</w:t>
      </w:r>
    </w:p>
    <w:p w14:paraId="11BB6405" w14:textId="77777777" w:rsidR="0054289A" w:rsidRDefault="0054289A" w:rsidP="009F464D">
      <w:pPr>
        <w:pStyle w:val="KeinLeerraum"/>
        <w:numPr>
          <w:ilvl w:val="0"/>
          <w:numId w:val="2"/>
        </w:numPr>
        <w:jc w:val="both"/>
      </w:pPr>
      <w:r>
        <w:t xml:space="preserve">Anfertigung der für die Prüfung erforderlichen Formulare: </w:t>
      </w:r>
    </w:p>
    <w:p w14:paraId="5CF8CEC9" w14:textId="77777777" w:rsidR="0054289A" w:rsidRDefault="0054289A" w:rsidP="0043524F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Prüfungsvorblatt (2-fach)</w:t>
      </w:r>
    </w:p>
    <w:p w14:paraId="5021DB5A" w14:textId="77777777" w:rsidR="0054289A" w:rsidRDefault="0054289A" w:rsidP="0043524F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Prüfungsbericht (2-fach)</w:t>
      </w:r>
    </w:p>
    <w:p w14:paraId="3DE8F20C" w14:textId="77777777" w:rsidR="0054289A" w:rsidRDefault="009F464D" w:rsidP="0043524F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Bewertungsblatt (2</w:t>
      </w:r>
      <w:r w:rsidR="0054289A">
        <w:t>-fach)</w:t>
      </w:r>
    </w:p>
    <w:p w14:paraId="2C9A94D8" w14:textId="77777777" w:rsidR="0054289A" w:rsidRDefault="0054289A" w:rsidP="0043524F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Nennungsliste (1-fach)</w:t>
      </w:r>
    </w:p>
    <w:p w14:paraId="414CFE2E" w14:textId="4CCDAEAC" w:rsidR="0054289A" w:rsidRDefault="00677F7C" w:rsidP="0043524F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 xml:space="preserve">Ggf. </w:t>
      </w:r>
      <w:r w:rsidR="0054289A">
        <w:t>Urkunden (1-fach)</w:t>
      </w:r>
    </w:p>
    <w:p w14:paraId="41C01123" w14:textId="77777777" w:rsidR="004E28FE" w:rsidRDefault="004E28FE" w:rsidP="004E28FE">
      <w:pPr>
        <w:pStyle w:val="KeinLeerraum"/>
        <w:tabs>
          <w:tab w:val="left" w:pos="1560"/>
        </w:tabs>
        <w:ind w:left="1560"/>
        <w:jc w:val="both"/>
      </w:pPr>
    </w:p>
    <w:p w14:paraId="005E512C" w14:textId="77777777" w:rsidR="0054289A" w:rsidRDefault="00697BB9" w:rsidP="009F464D">
      <w:pPr>
        <w:pStyle w:val="KeinLeerraum"/>
        <w:numPr>
          <w:ilvl w:val="0"/>
          <w:numId w:val="2"/>
        </w:numPr>
        <w:jc w:val="both"/>
      </w:pPr>
      <w:r>
        <w:t xml:space="preserve">Absprache mit den betroffenen Revierinhabern über die Durchführung </w:t>
      </w:r>
      <w:r w:rsidR="00FE2795">
        <w:t>der</w:t>
      </w:r>
      <w:r w:rsidR="009F464D">
        <w:t xml:space="preserve"> Prüfung (Legen von Schweißfährten)</w:t>
      </w:r>
    </w:p>
    <w:p w14:paraId="3D5CB636" w14:textId="77777777" w:rsidR="009F464D" w:rsidRDefault="009F464D" w:rsidP="009F464D">
      <w:pPr>
        <w:pStyle w:val="KeinLeerraum"/>
        <w:numPr>
          <w:ilvl w:val="0"/>
          <w:numId w:val="2"/>
        </w:numPr>
        <w:jc w:val="both"/>
      </w:pPr>
      <w:r>
        <w:t>Legen der Schweißfährten unter Beachtung der prüfungsrechtlichen Vorschriften:</w:t>
      </w:r>
    </w:p>
    <w:p w14:paraId="28C71C6C" w14:textId="77777777" w:rsidR="00F96381" w:rsidRPr="0043524F" w:rsidRDefault="00F96381" w:rsidP="004352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 xml:space="preserve">Länge der Übernachtfährte </w:t>
      </w:r>
      <w:r w:rsidR="004E28FE">
        <w:rPr>
          <w:rFonts w:asciiTheme="minorHAnsi" w:hAnsiTheme="minorHAnsi" w:cstheme="minorHAnsi"/>
          <w:color w:val="000000"/>
          <w:lang w:eastAsia="de-DE"/>
        </w:rPr>
        <w:t>mindestens 600m</w:t>
      </w:r>
    </w:p>
    <w:p w14:paraId="799A252F" w14:textId="77777777" w:rsidR="00F96381" w:rsidRPr="0043524F" w:rsidRDefault="00F96381" w:rsidP="004352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>Fährte muss zwei Haken, die nicht mit den beiden Wundb</w:t>
      </w:r>
      <w:r w:rsidR="0043524F" w:rsidRPr="0043524F">
        <w:rPr>
          <w:rFonts w:asciiTheme="minorHAnsi" w:hAnsiTheme="minorHAnsi" w:cstheme="minorHAnsi"/>
          <w:color w:val="000000"/>
          <w:lang w:eastAsia="de-DE"/>
        </w:rPr>
        <w:t>etten identisch sein dürfen, be</w:t>
      </w:r>
      <w:r w:rsidRPr="0043524F">
        <w:rPr>
          <w:rFonts w:asciiTheme="minorHAnsi" w:hAnsiTheme="minorHAnsi" w:cstheme="minorHAnsi"/>
          <w:color w:val="000000"/>
          <w:lang w:eastAsia="de-DE"/>
        </w:rPr>
        <w:t>inhal</w:t>
      </w:r>
      <w:r w:rsidR="0043524F" w:rsidRPr="0043524F">
        <w:rPr>
          <w:rFonts w:asciiTheme="minorHAnsi" w:hAnsiTheme="minorHAnsi" w:cstheme="minorHAnsi"/>
          <w:color w:val="000000"/>
          <w:lang w:eastAsia="de-DE"/>
        </w:rPr>
        <w:t>ten</w:t>
      </w:r>
    </w:p>
    <w:p w14:paraId="299186FE" w14:textId="77777777" w:rsidR="00F96381" w:rsidRPr="0043524F" w:rsidRDefault="0043524F" w:rsidP="004352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>Verwendung von max.</w:t>
      </w:r>
      <w:r w:rsidR="00F96381" w:rsidRPr="0043524F">
        <w:rPr>
          <w:rFonts w:asciiTheme="minorHAnsi" w:hAnsiTheme="minorHAnsi" w:cstheme="minorHAnsi"/>
          <w:color w:val="000000"/>
          <w:lang w:eastAsia="de-DE"/>
        </w:rPr>
        <w:t xml:space="preserve"> ¼ </w:t>
      </w:r>
      <w:r w:rsidRPr="0043524F">
        <w:rPr>
          <w:rFonts w:asciiTheme="minorHAnsi" w:hAnsiTheme="minorHAnsi" w:cstheme="minorHAnsi"/>
          <w:color w:val="000000"/>
          <w:lang w:eastAsia="de-DE"/>
        </w:rPr>
        <w:t>Liter Wildschweiß</w:t>
      </w:r>
    </w:p>
    <w:p w14:paraId="4EF48F1F" w14:textId="77777777" w:rsidR="004E28FE" w:rsidRPr="004E28FE" w:rsidRDefault="00F96381" w:rsidP="004E28F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 xml:space="preserve">Fährten werden getropft </w:t>
      </w:r>
      <w:r w:rsidRPr="0043524F">
        <w:rPr>
          <w:rFonts w:asciiTheme="minorHAnsi" w:hAnsiTheme="minorHAnsi" w:cstheme="minorHAnsi"/>
          <w:b/>
          <w:i/>
          <w:color w:val="000000"/>
          <w:lang w:eastAsia="de-DE"/>
        </w:rPr>
        <w:t>oder</w:t>
      </w:r>
      <w:r w:rsidRPr="0043524F">
        <w:rPr>
          <w:rFonts w:asciiTheme="minorHAnsi" w:hAnsiTheme="minorHAnsi" w:cstheme="minorHAnsi"/>
          <w:color w:val="000000"/>
          <w:lang w:eastAsia="de-DE"/>
        </w:rPr>
        <w:t xml:space="preserve"> getupft hergestellt </w:t>
      </w:r>
      <w:r w:rsidRPr="0043524F">
        <w:rPr>
          <w:rFonts w:asciiTheme="minorHAnsi" w:hAnsiTheme="minorHAnsi" w:cstheme="minorHAnsi"/>
          <w:b/>
          <w:i/>
          <w:color w:val="000000"/>
          <w:lang w:eastAsia="de-DE"/>
        </w:rPr>
        <w:t>und</w:t>
      </w:r>
      <w:r w:rsidR="0043524F" w:rsidRPr="0043524F">
        <w:rPr>
          <w:rFonts w:asciiTheme="minorHAnsi" w:hAnsiTheme="minorHAnsi" w:cstheme="minorHAnsi"/>
          <w:color w:val="000000"/>
          <w:lang w:eastAsia="de-DE"/>
        </w:rPr>
        <w:t xml:space="preserve"> mit dem Fährtenschuh ge</w:t>
      </w:r>
      <w:r w:rsidRPr="0043524F">
        <w:rPr>
          <w:rFonts w:asciiTheme="minorHAnsi" w:hAnsiTheme="minorHAnsi" w:cstheme="minorHAnsi"/>
          <w:color w:val="000000"/>
          <w:lang w:eastAsia="de-DE"/>
        </w:rPr>
        <w:t>tre</w:t>
      </w:r>
      <w:r w:rsidR="004E28FE">
        <w:rPr>
          <w:rFonts w:asciiTheme="minorHAnsi" w:hAnsiTheme="minorHAnsi" w:cstheme="minorHAnsi"/>
          <w:color w:val="000000"/>
          <w:lang w:eastAsia="de-DE"/>
        </w:rPr>
        <w:t>ten</w:t>
      </w:r>
    </w:p>
    <w:p w14:paraId="172371BB" w14:textId="77777777" w:rsidR="006D487A" w:rsidRDefault="006D487A" w:rsidP="005C52DD">
      <w:pPr>
        <w:pStyle w:val="KeinLeerraum"/>
      </w:pPr>
    </w:p>
    <w:p w14:paraId="45CEC1C4" w14:textId="77777777" w:rsidR="006D487A" w:rsidRPr="006A52A6" w:rsidRDefault="009F464D" w:rsidP="005C52DD">
      <w:pPr>
        <w:pStyle w:val="KeinLeerraum"/>
        <w:rPr>
          <w:b/>
          <w:i/>
          <w:color w:val="4F6228" w:themeColor="accent3" w:themeShade="80"/>
        </w:rPr>
      </w:pPr>
      <w:r w:rsidRPr="006A52A6">
        <w:rPr>
          <w:b/>
          <w:i/>
          <w:color w:val="4F6228" w:themeColor="accent3" w:themeShade="80"/>
        </w:rPr>
        <w:t>3. Durchführung der Eignungs</w:t>
      </w:r>
      <w:r w:rsidR="006D487A" w:rsidRPr="006A52A6">
        <w:rPr>
          <w:b/>
          <w:i/>
          <w:color w:val="4F6228" w:themeColor="accent3" w:themeShade="80"/>
        </w:rPr>
        <w:t>prüfung</w:t>
      </w:r>
    </w:p>
    <w:p w14:paraId="27EC43D6" w14:textId="77777777" w:rsidR="004E28FE" w:rsidRPr="006A52A6" w:rsidRDefault="004E28FE" w:rsidP="005C52DD">
      <w:pPr>
        <w:pStyle w:val="KeinLeerraum"/>
        <w:rPr>
          <w:b/>
          <w:i/>
          <w:color w:val="4F6228" w:themeColor="accent3" w:themeShade="80"/>
        </w:rPr>
      </w:pPr>
    </w:p>
    <w:p w14:paraId="2DF33518" w14:textId="77777777" w:rsidR="00510154" w:rsidRPr="006A52A6" w:rsidRDefault="00510154" w:rsidP="005C52DD">
      <w:pPr>
        <w:pStyle w:val="KeinLeerraum"/>
        <w:rPr>
          <w:rFonts w:asciiTheme="minorHAnsi" w:hAnsiTheme="minorHAnsi" w:cstheme="minorHAnsi"/>
          <w:i/>
          <w:color w:val="4F6228" w:themeColor="accent3" w:themeShade="80"/>
        </w:rPr>
      </w:pPr>
      <w:r w:rsidRPr="006A52A6">
        <w:rPr>
          <w:rFonts w:asciiTheme="minorHAnsi" w:hAnsiTheme="minorHAnsi" w:cstheme="minorHAnsi"/>
          <w:i/>
          <w:color w:val="4F6228" w:themeColor="accent3" w:themeShade="80"/>
        </w:rPr>
        <w:t>Art der Prüfung</w:t>
      </w:r>
    </w:p>
    <w:p w14:paraId="6648B714" w14:textId="77777777" w:rsidR="00510154" w:rsidRPr="00510154" w:rsidRDefault="00510154" w:rsidP="005101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510154">
        <w:rPr>
          <w:rFonts w:asciiTheme="minorHAnsi" w:hAnsiTheme="minorHAnsi" w:cstheme="minorHAnsi"/>
          <w:color w:val="000000"/>
          <w:lang w:eastAsia="de-DE"/>
        </w:rPr>
        <w:t xml:space="preserve">Die Hunde sind an </w:t>
      </w:r>
      <w:r w:rsidRPr="00677F7C">
        <w:rPr>
          <w:rFonts w:asciiTheme="minorHAnsi" w:hAnsiTheme="minorHAnsi" w:cstheme="minorHAnsi"/>
          <w:b/>
          <w:bCs/>
          <w:i/>
          <w:iCs/>
          <w:color w:val="000000"/>
          <w:lang w:eastAsia="de-DE"/>
        </w:rPr>
        <w:t>einem</w:t>
      </w:r>
      <w:r w:rsidRPr="00510154">
        <w:rPr>
          <w:rFonts w:asciiTheme="minorHAnsi" w:hAnsiTheme="minorHAnsi" w:cstheme="minorHAnsi"/>
          <w:color w:val="000000"/>
          <w:lang w:eastAsia="de-DE"/>
        </w:rPr>
        <w:t xml:space="preserve"> Prüfungstag in folgenden Prüfungsfächern durchzuprüfen: </w:t>
      </w:r>
    </w:p>
    <w:p w14:paraId="0EA4608C" w14:textId="77777777" w:rsidR="00510154" w:rsidRPr="00510154" w:rsidRDefault="00510154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Schussfestigkeit</w:t>
      </w:r>
    </w:p>
    <w:p w14:paraId="53188C03" w14:textId="77777777" w:rsidR="00510154" w:rsidRPr="00510154" w:rsidRDefault="00510154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r w:rsidRPr="00510154">
        <w:rPr>
          <w:rFonts w:asciiTheme="minorHAnsi" w:hAnsiTheme="minorHAnsi" w:cstheme="minorHAnsi"/>
          <w:color w:val="000000"/>
          <w:lang w:eastAsia="de-DE"/>
        </w:rPr>
        <w:t>Sch</w:t>
      </w:r>
      <w:r>
        <w:rPr>
          <w:rFonts w:asciiTheme="minorHAnsi" w:hAnsiTheme="minorHAnsi" w:cstheme="minorHAnsi"/>
          <w:color w:val="000000"/>
          <w:lang w:eastAsia="de-DE"/>
        </w:rPr>
        <w:t>weißarbeit auf der Kunstfährte</w:t>
      </w:r>
    </w:p>
    <w:p w14:paraId="6FC02EEC" w14:textId="77777777" w:rsidR="00510154" w:rsidRPr="00510154" w:rsidRDefault="00510154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Allgemeiner Gehorsam</w:t>
      </w:r>
    </w:p>
    <w:p w14:paraId="3AD4F9CA" w14:textId="77777777" w:rsidR="00510154" w:rsidRPr="00510154" w:rsidRDefault="00510154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r w:rsidRPr="00510154">
        <w:rPr>
          <w:rFonts w:asciiTheme="minorHAnsi" w:hAnsiTheme="minorHAnsi" w:cstheme="minorHAnsi"/>
          <w:color w:val="000000"/>
          <w:lang w:eastAsia="de-DE"/>
        </w:rPr>
        <w:lastRenderedPageBreak/>
        <w:t>Leinenfü</w:t>
      </w:r>
      <w:r>
        <w:rPr>
          <w:rFonts w:asciiTheme="minorHAnsi" w:hAnsiTheme="minorHAnsi" w:cstheme="minorHAnsi"/>
          <w:color w:val="000000"/>
          <w:lang w:eastAsia="de-DE"/>
        </w:rPr>
        <w:t>hrigkeit</w:t>
      </w:r>
    </w:p>
    <w:p w14:paraId="177F7D26" w14:textId="77777777" w:rsidR="00510154" w:rsidRPr="00510154" w:rsidRDefault="00510154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Verhalten auf dem Stand</w:t>
      </w:r>
    </w:p>
    <w:p w14:paraId="10F0C837" w14:textId="77777777" w:rsidR="00510154" w:rsidRPr="00510154" w:rsidRDefault="00510154" w:rsidP="005C52DD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</w:rPr>
      </w:pPr>
    </w:p>
    <w:p w14:paraId="003D9C4F" w14:textId="77777777" w:rsidR="005C52DD" w:rsidRPr="006A52A6" w:rsidRDefault="00541518" w:rsidP="005C52DD">
      <w:pPr>
        <w:pStyle w:val="KeinLeerraum"/>
        <w:rPr>
          <w:i/>
          <w:color w:val="4F6228" w:themeColor="accent3" w:themeShade="80"/>
        </w:rPr>
      </w:pPr>
      <w:r w:rsidRPr="006A52A6">
        <w:rPr>
          <w:i/>
          <w:color w:val="4F6228" w:themeColor="accent3" w:themeShade="80"/>
        </w:rPr>
        <w:t>vor Beginn der Prüfung</w:t>
      </w:r>
    </w:p>
    <w:p w14:paraId="56A22A43" w14:textId="77777777" w:rsidR="006D487A" w:rsidRDefault="0054289A" w:rsidP="0054289A">
      <w:pPr>
        <w:pStyle w:val="KeinLeerraum"/>
        <w:numPr>
          <w:ilvl w:val="0"/>
          <w:numId w:val="3"/>
        </w:numPr>
      </w:pPr>
      <w:r>
        <w:t>Ausgabe der Richterbücher an die Richter und Richteranwärter</w:t>
      </w:r>
    </w:p>
    <w:p w14:paraId="263C2296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Einweisung der Richter und Richteranwärter in den Ablauf der Prüfung und des Reviers</w:t>
      </w:r>
    </w:p>
    <w:p w14:paraId="6C0798F9" w14:textId="78DB6D62" w:rsidR="0054289A" w:rsidRDefault="00281128" w:rsidP="0054289A">
      <w:pPr>
        <w:pStyle w:val="KeinLeerraum"/>
        <w:numPr>
          <w:ilvl w:val="0"/>
          <w:numId w:val="3"/>
        </w:numPr>
      </w:pPr>
      <w:r>
        <w:t xml:space="preserve">Überprüfung der Chipnummer durch </w:t>
      </w:r>
      <w:r w:rsidR="00677F7C">
        <w:t>den</w:t>
      </w:r>
      <w:r>
        <w:t xml:space="preserve"> Prüfungsleiter</w:t>
      </w:r>
    </w:p>
    <w:p w14:paraId="7A848968" w14:textId="77777777" w:rsidR="006D487A" w:rsidRDefault="00281128" w:rsidP="0054289A">
      <w:pPr>
        <w:pStyle w:val="KeinLeerraum"/>
        <w:numPr>
          <w:ilvl w:val="0"/>
          <w:numId w:val="3"/>
        </w:numPr>
      </w:pPr>
      <w:r>
        <w:t xml:space="preserve">Prüfung des </w:t>
      </w:r>
      <w:r w:rsidR="0054289A">
        <w:t>Impfausweis</w:t>
      </w:r>
      <w:r>
        <w:t>es</w:t>
      </w:r>
      <w:r w:rsidR="0054289A">
        <w:t xml:space="preserve"> und Kontrolle des Jagdscheines </w:t>
      </w:r>
      <w:r>
        <w:t>(</w:t>
      </w:r>
      <w:r w:rsidR="0054289A">
        <w:t>soweit in der Vorbereitung noch nicht geschehen</w:t>
      </w:r>
      <w:r>
        <w:t>)</w:t>
      </w:r>
    </w:p>
    <w:p w14:paraId="49984BD9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Einziehung des Nenngeldes</w:t>
      </w:r>
    </w:p>
    <w:p w14:paraId="72A2A16A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Entscheidung über die Zulassung von nicht ordnungsgemäß/ fristgerecht gemeldeten Hunden</w:t>
      </w:r>
    </w:p>
    <w:p w14:paraId="64175AB0" w14:textId="77777777" w:rsidR="00D775F3" w:rsidRDefault="009F464D" w:rsidP="0054289A">
      <w:pPr>
        <w:pStyle w:val="KeinLeerraum"/>
        <w:numPr>
          <w:ilvl w:val="0"/>
          <w:numId w:val="3"/>
        </w:numPr>
      </w:pPr>
      <w:r>
        <w:t>Auslosung der Reihenfolge</w:t>
      </w:r>
    </w:p>
    <w:p w14:paraId="6EFF0374" w14:textId="77777777" w:rsidR="00541518" w:rsidRDefault="00541518" w:rsidP="00541518">
      <w:pPr>
        <w:pStyle w:val="KeinLeerraum"/>
        <w:ind w:left="720"/>
      </w:pPr>
    </w:p>
    <w:p w14:paraId="48345A19" w14:textId="77777777" w:rsidR="006D487A" w:rsidRPr="006A52A6" w:rsidRDefault="00541518" w:rsidP="005C52DD">
      <w:pPr>
        <w:pStyle w:val="KeinLeerraum"/>
        <w:rPr>
          <w:i/>
          <w:color w:val="4F6228" w:themeColor="accent3" w:themeShade="80"/>
        </w:rPr>
      </w:pPr>
      <w:r w:rsidRPr="006A52A6">
        <w:rPr>
          <w:i/>
          <w:color w:val="4F6228" w:themeColor="accent3" w:themeShade="80"/>
        </w:rPr>
        <w:t>zu Beginn der Prüfung</w:t>
      </w:r>
    </w:p>
    <w:p w14:paraId="1B714CB9" w14:textId="77777777" w:rsidR="006D487A" w:rsidRDefault="006D487A" w:rsidP="0054289A">
      <w:pPr>
        <w:pStyle w:val="KeinLeerraum"/>
        <w:numPr>
          <w:ilvl w:val="0"/>
          <w:numId w:val="3"/>
        </w:numPr>
      </w:pPr>
      <w:r>
        <w:t>Begrüßung der Hundeführer</w:t>
      </w:r>
      <w:r w:rsidR="006A52A6">
        <w:t>,</w:t>
      </w:r>
      <w:r>
        <w:t xml:space="preserve"> Vorstellung der Richter</w:t>
      </w:r>
      <w:r w:rsidR="006A52A6">
        <w:t xml:space="preserve"> und Einweisung in den Ablauf der Prüfung</w:t>
      </w:r>
    </w:p>
    <w:p w14:paraId="64990E4D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Abfrage, inwieweit eine zu prüfende Hündin läufig ist</w:t>
      </w:r>
    </w:p>
    <w:p w14:paraId="5EC6898C" w14:textId="77777777" w:rsidR="00541518" w:rsidRDefault="0054289A" w:rsidP="00E86B29">
      <w:pPr>
        <w:pStyle w:val="KeinLeerraum"/>
        <w:numPr>
          <w:ilvl w:val="0"/>
          <w:numId w:val="3"/>
        </w:numPr>
      </w:pPr>
      <w:r>
        <w:t>Abfrage, inwieweit ein Hundeführer Erstlingsführer ist</w:t>
      </w:r>
      <w:r w:rsidR="009F464D">
        <w:t xml:space="preserve"> (dann ggf. die </w:t>
      </w:r>
      <w:r w:rsidR="006A52A6">
        <w:t>Prüfungsanforderungen</w:t>
      </w:r>
      <w:r w:rsidR="009F464D">
        <w:t xml:space="preserve"> </w:t>
      </w:r>
      <w:r w:rsidR="006A52A6">
        <w:t xml:space="preserve">zu Beginn der Prüfungsfächer </w:t>
      </w:r>
      <w:r w:rsidR="009F464D">
        <w:t>kurz vorstellen)</w:t>
      </w:r>
    </w:p>
    <w:p w14:paraId="01979714" w14:textId="77777777" w:rsidR="00E86B29" w:rsidRDefault="00E86B29" w:rsidP="00541518">
      <w:pPr>
        <w:pStyle w:val="KeinLeerraum"/>
        <w:ind w:left="720"/>
      </w:pPr>
    </w:p>
    <w:p w14:paraId="2F8B9E3A" w14:textId="77777777" w:rsidR="00697BB9" w:rsidRPr="006A52A6" w:rsidRDefault="00697BB9" w:rsidP="00541518">
      <w:pPr>
        <w:pStyle w:val="KeinLeerraum"/>
        <w:rPr>
          <w:i/>
          <w:color w:val="4F6228" w:themeColor="accent3" w:themeShade="80"/>
        </w:rPr>
      </w:pPr>
      <w:r w:rsidRPr="006A52A6">
        <w:rPr>
          <w:i/>
          <w:color w:val="4F6228" w:themeColor="accent3" w:themeShade="80"/>
        </w:rPr>
        <w:t>während der Prüfung</w:t>
      </w:r>
    </w:p>
    <w:p w14:paraId="1A41E73F" w14:textId="77777777" w:rsidR="00697BB9" w:rsidRDefault="00E86B29" w:rsidP="00E86B29">
      <w:pPr>
        <w:pStyle w:val="KeinLeerrau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Beginn der Prüfung mit der Schussfestigkeit</w:t>
      </w:r>
      <w:r w:rsidR="009F464D">
        <w:rPr>
          <w:color w:val="000000" w:themeColor="text1"/>
        </w:rPr>
        <w:t>, sofern zu prüfende Hunde noch keine (Teil-)-Anlagenprüfung abgeschlossen haben</w:t>
      </w:r>
    </w:p>
    <w:p w14:paraId="6D512880" w14:textId="39CF409B" w:rsidR="00E86B29" w:rsidRDefault="006A52A6" w:rsidP="009F464D">
      <w:pPr>
        <w:pStyle w:val="KeinLeerraum"/>
        <w:numPr>
          <w:ilvl w:val="0"/>
          <w:numId w:val="5"/>
        </w:numPr>
        <w:ind w:left="1560"/>
        <w:rPr>
          <w:color w:val="000000" w:themeColor="text1"/>
        </w:rPr>
      </w:pPr>
      <w:r>
        <w:rPr>
          <w:color w:val="000000" w:themeColor="text1"/>
        </w:rPr>
        <w:t>Abgabe der Schüsse</w:t>
      </w:r>
      <w:r w:rsidR="00E86B29">
        <w:rPr>
          <w:color w:val="000000" w:themeColor="text1"/>
        </w:rPr>
        <w:t xml:space="preserve">, sofern nicht </w:t>
      </w:r>
      <w:r w:rsidR="009F464D">
        <w:rPr>
          <w:color w:val="000000" w:themeColor="text1"/>
        </w:rPr>
        <w:t>der</w:t>
      </w:r>
      <w:r w:rsidR="00E86B29">
        <w:rPr>
          <w:color w:val="000000" w:themeColor="text1"/>
        </w:rPr>
        <w:t xml:space="preserve"> Hundeführer </w:t>
      </w:r>
      <w:r w:rsidR="00677F7C">
        <w:rPr>
          <w:color w:val="000000" w:themeColor="text1"/>
        </w:rPr>
        <w:t>selbst</w:t>
      </w:r>
      <w:r w:rsidR="009F464D">
        <w:rPr>
          <w:color w:val="000000" w:themeColor="text1"/>
        </w:rPr>
        <w:t xml:space="preserve"> schießt</w:t>
      </w:r>
    </w:p>
    <w:p w14:paraId="5D8B9911" w14:textId="77777777" w:rsidR="0043524F" w:rsidRDefault="0043524F" w:rsidP="009F464D">
      <w:pPr>
        <w:pStyle w:val="KeinLeerraum"/>
        <w:numPr>
          <w:ilvl w:val="0"/>
          <w:numId w:val="5"/>
        </w:numPr>
        <w:ind w:left="1560"/>
        <w:rPr>
          <w:color w:val="000000" w:themeColor="text1"/>
        </w:rPr>
      </w:pPr>
      <w:r>
        <w:rPr>
          <w:color w:val="000000" w:themeColor="text1"/>
        </w:rPr>
        <w:t>Weiterprüfung im Rahmen der EP nur, wenn AKZ mindestens mit der Note 6 bewertet wurde (Zulassungsvoraussetzung)</w:t>
      </w:r>
    </w:p>
    <w:p w14:paraId="4F7C0C3F" w14:textId="77777777" w:rsidR="009F464D" w:rsidRDefault="009F464D" w:rsidP="009F464D">
      <w:pPr>
        <w:pStyle w:val="KeinLeerraum"/>
        <w:numPr>
          <w:ilvl w:val="0"/>
          <w:numId w:val="5"/>
        </w:numPr>
        <w:ind w:left="709"/>
        <w:rPr>
          <w:color w:val="000000" w:themeColor="text1"/>
        </w:rPr>
      </w:pPr>
      <w:r>
        <w:rPr>
          <w:color w:val="000000" w:themeColor="text1"/>
        </w:rPr>
        <w:t>Arbeiten der Schweißfährten in Reihenfolge der Auslosung</w:t>
      </w:r>
    </w:p>
    <w:p w14:paraId="64EEBC61" w14:textId="77777777" w:rsidR="009F464D" w:rsidRDefault="00510154" w:rsidP="009F464D">
      <w:pPr>
        <w:pStyle w:val="KeinLeerraum"/>
        <w:numPr>
          <w:ilvl w:val="0"/>
          <w:numId w:val="5"/>
        </w:numPr>
        <w:ind w:left="709"/>
        <w:rPr>
          <w:color w:val="000000" w:themeColor="text1"/>
        </w:rPr>
      </w:pPr>
      <w:r>
        <w:rPr>
          <w:color w:val="000000" w:themeColor="text1"/>
        </w:rPr>
        <w:t>Prüfung der Gehorsamsfächer</w:t>
      </w:r>
    </w:p>
    <w:p w14:paraId="35BDB9DE" w14:textId="77777777" w:rsidR="00E86B29" w:rsidRPr="00697BB9" w:rsidRDefault="00E86B29" w:rsidP="00E86B29">
      <w:pPr>
        <w:pStyle w:val="KeinLeerrau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Überwachung der Ordnungsvorschriften der Prüfungsordnung</w:t>
      </w:r>
    </w:p>
    <w:p w14:paraId="4A905150" w14:textId="77777777" w:rsidR="00697BB9" w:rsidRPr="00697BB9" w:rsidRDefault="00697BB9" w:rsidP="00541518">
      <w:pPr>
        <w:pStyle w:val="KeinLeerraum"/>
        <w:rPr>
          <w:color w:val="000000" w:themeColor="text1"/>
        </w:rPr>
      </w:pPr>
    </w:p>
    <w:p w14:paraId="1D8C57D6" w14:textId="77777777" w:rsidR="00541518" w:rsidRPr="006A52A6" w:rsidRDefault="00541518" w:rsidP="00541518">
      <w:pPr>
        <w:pStyle w:val="KeinLeerraum"/>
        <w:rPr>
          <w:i/>
          <w:color w:val="4F6228" w:themeColor="accent3" w:themeShade="80"/>
        </w:rPr>
      </w:pPr>
      <w:r w:rsidRPr="006A52A6">
        <w:rPr>
          <w:i/>
          <w:color w:val="4F6228" w:themeColor="accent3" w:themeShade="80"/>
        </w:rPr>
        <w:t>nach der Prüfung</w:t>
      </w:r>
    </w:p>
    <w:p w14:paraId="2C126431" w14:textId="756B8CC7" w:rsidR="00541518" w:rsidRDefault="00541518" w:rsidP="009F464D">
      <w:pPr>
        <w:pStyle w:val="KeinLeerraum"/>
        <w:numPr>
          <w:ilvl w:val="0"/>
          <w:numId w:val="3"/>
        </w:numPr>
        <w:jc w:val="both"/>
      </w:pPr>
      <w:r>
        <w:t>Ausfüllen des Bewertungsblattes</w:t>
      </w:r>
      <w:r w:rsidR="00E86B29">
        <w:t xml:space="preserve"> + Unterschrift durch PL und </w:t>
      </w:r>
      <w:r w:rsidR="00677F7C">
        <w:t>der</w:t>
      </w:r>
      <w:r w:rsidR="00E86B29">
        <w:t xml:space="preserve"> Richter</w:t>
      </w:r>
    </w:p>
    <w:p w14:paraId="589A6F29" w14:textId="77777777" w:rsidR="0054289A" w:rsidRDefault="0054289A" w:rsidP="009F464D">
      <w:pPr>
        <w:pStyle w:val="KeinLeerraum"/>
        <w:numPr>
          <w:ilvl w:val="0"/>
          <w:numId w:val="3"/>
        </w:numPr>
        <w:jc w:val="both"/>
      </w:pPr>
      <w:r>
        <w:t>Eintragung des Prüfungsergebnisses mit Ort und Datum</w:t>
      </w:r>
      <w:r w:rsidR="00541518">
        <w:t xml:space="preserve"> in die Ahnentafel</w:t>
      </w:r>
      <w:r w:rsidR="00E86B29">
        <w:t xml:space="preserve"> + Unterschrift vom Richterobmann</w:t>
      </w:r>
    </w:p>
    <w:p w14:paraId="37A75D0C" w14:textId="6F40F03D" w:rsidR="0054289A" w:rsidRDefault="0054289A" w:rsidP="009F464D">
      <w:pPr>
        <w:pStyle w:val="KeinLeerraum"/>
        <w:numPr>
          <w:ilvl w:val="0"/>
          <w:numId w:val="3"/>
        </w:numPr>
        <w:jc w:val="both"/>
      </w:pPr>
      <w:r>
        <w:t xml:space="preserve">Ausfertigung der Originalahnentafel, des Bewertungsblattes und </w:t>
      </w:r>
      <w:r w:rsidR="00677F7C">
        <w:t xml:space="preserve">ggf. </w:t>
      </w:r>
      <w:r>
        <w:t>der Urkunde an den Hundeführer</w:t>
      </w:r>
    </w:p>
    <w:p w14:paraId="4257FAF9" w14:textId="398EBDE0" w:rsidR="0054289A" w:rsidRDefault="00FE2795" w:rsidP="009F464D">
      <w:pPr>
        <w:pStyle w:val="KeinLeerraum"/>
        <w:numPr>
          <w:ilvl w:val="0"/>
          <w:numId w:val="3"/>
        </w:numPr>
        <w:jc w:val="both"/>
      </w:pPr>
      <w:r>
        <w:t>Auszahlung der Aufwandsentschädigung an die Richter</w:t>
      </w:r>
      <w:r w:rsidR="009F464D">
        <w:t xml:space="preserve"> </w:t>
      </w:r>
    </w:p>
    <w:p w14:paraId="34170694" w14:textId="07D9BEF6" w:rsidR="00677F7C" w:rsidRDefault="00677F7C" w:rsidP="00677F7C">
      <w:pPr>
        <w:pStyle w:val="KeinLeerraum"/>
        <w:ind w:left="720"/>
        <w:jc w:val="both"/>
      </w:pPr>
    </w:p>
    <w:p w14:paraId="444402E4" w14:textId="77777777" w:rsidR="0054289A" w:rsidRPr="006A52A6" w:rsidRDefault="009F464D" w:rsidP="009F464D">
      <w:pPr>
        <w:pStyle w:val="KeinLeerraum"/>
        <w:jc w:val="both"/>
        <w:rPr>
          <w:b/>
          <w:i/>
          <w:color w:val="4F6228" w:themeColor="accent3" w:themeShade="80"/>
        </w:rPr>
      </w:pPr>
      <w:r w:rsidRPr="006A52A6">
        <w:rPr>
          <w:b/>
          <w:i/>
          <w:color w:val="4F6228" w:themeColor="accent3" w:themeShade="80"/>
        </w:rPr>
        <w:t>4. Nachbereitung einer Eignungs</w:t>
      </w:r>
      <w:r w:rsidR="0054289A" w:rsidRPr="006A52A6">
        <w:rPr>
          <w:b/>
          <w:i/>
          <w:color w:val="4F6228" w:themeColor="accent3" w:themeShade="80"/>
        </w:rPr>
        <w:t>prüfung</w:t>
      </w:r>
    </w:p>
    <w:p w14:paraId="002FB5E8" w14:textId="7B776938" w:rsidR="0054289A" w:rsidRDefault="0054289A" w:rsidP="009F464D">
      <w:pPr>
        <w:pStyle w:val="KeinLeerraum"/>
        <w:numPr>
          <w:ilvl w:val="0"/>
          <w:numId w:val="4"/>
        </w:numPr>
        <w:jc w:val="both"/>
      </w:pPr>
      <w:r>
        <w:t>Zusendung der Prüfungsberichte (Formblätter P 002, 003)</w:t>
      </w:r>
      <w:r w:rsidR="00697BB9">
        <w:t xml:space="preserve"> in einfacher Ausfertigung</w:t>
      </w:r>
      <w:r>
        <w:t xml:space="preserve"> </w:t>
      </w:r>
      <w:r w:rsidR="000F7521">
        <w:t xml:space="preserve">sowie ggf. Kopien der Ahnentafeln von Hunden fremder Vereine </w:t>
      </w:r>
      <w:r>
        <w:t>innerhalb von drei Wochen nach der Prüfung an d</w:t>
      </w:r>
      <w:r w:rsidR="00677F7C">
        <w:t>.</w:t>
      </w:r>
      <w:r>
        <w:t xml:space="preserve"> Obmann</w:t>
      </w:r>
      <w:r w:rsidR="00677F7C">
        <w:t>/Obfrau</w:t>
      </w:r>
      <w:r>
        <w:t xml:space="preserve"> für das Jagdgebrauchshund</w:t>
      </w:r>
      <w:r w:rsidR="00677F7C">
        <w:t>e</w:t>
      </w:r>
      <w:r>
        <w:t>wes</w:t>
      </w:r>
      <w:r w:rsidR="009F464D">
        <w:t>en</w:t>
      </w:r>
      <w:r w:rsidR="00677F7C">
        <w:t xml:space="preserve"> oder </w:t>
      </w:r>
      <w:r w:rsidR="00A61A10">
        <w:t>Eintragung der Prüfungsergebnisse in das VJT-info-Programm und Übersendung der Exportdatei an d. Obmann/Obfrau für das Jagdgebrauchshundewesen</w:t>
      </w:r>
    </w:p>
    <w:p w14:paraId="416226ED" w14:textId="77777777" w:rsidR="00541518" w:rsidRDefault="00541518" w:rsidP="009F464D">
      <w:pPr>
        <w:pStyle w:val="KeinLeerraum"/>
        <w:numPr>
          <w:ilvl w:val="0"/>
          <w:numId w:val="4"/>
        </w:numPr>
        <w:jc w:val="both"/>
      </w:pPr>
      <w:r>
        <w:t>ggf. mit schriftlicher Begründung eines Notrichtereinsatzes</w:t>
      </w:r>
    </w:p>
    <w:p w14:paraId="4D21F39A" w14:textId="557D29F6" w:rsidR="00541518" w:rsidRPr="005C52DD" w:rsidRDefault="00697BB9" w:rsidP="009F464D">
      <w:pPr>
        <w:pStyle w:val="KeinLeerraum"/>
        <w:numPr>
          <w:ilvl w:val="0"/>
          <w:numId w:val="4"/>
        </w:numPr>
        <w:jc w:val="both"/>
      </w:pPr>
      <w:r>
        <w:lastRenderedPageBreak/>
        <w:t>Verbleib der Nennliste, des Formblattes P 002, P 003 in einfacher Ausfertigung und d</w:t>
      </w:r>
      <w:r w:rsidR="009F464D">
        <w:t>ie der Bewertungsblätter in mindestens ein</w:t>
      </w:r>
      <w:r>
        <w:t>facher Ausfertigung beim Prüfungsleiter</w:t>
      </w:r>
    </w:p>
    <w:sectPr w:rsidR="00541518" w:rsidRPr="005C52DD" w:rsidSect="00D1059C">
      <w:pgSz w:w="11906" w:h="16838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4BF7" w14:textId="77777777" w:rsidR="002C574C" w:rsidRDefault="002C574C" w:rsidP="00D1059C">
      <w:pPr>
        <w:spacing w:after="0" w:line="240" w:lineRule="auto"/>
      </w:pPr>
      <w:r>
        <w:separator/>
      </w:r>
    </w:p>
  </w:endnote>
  <w:endnote w:type="continuationSeparator" w:id="0">
    <w:p w14:paraId="41DEA7D2" w14:textId="77777777" w:rsidR="002C574C" w:rsidRDefault="002C574C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566B" w14:textId="77777777" w:rsidR="002C574C" w:rsidRDefault="002C574C" w:rsidP="00D1059C">
      <w:pPr>
        <w:spacing w:after="0" w:line="240" w:lineRule="auto"/>
      </w:pPr>
      <w:r>
        <w:separator/>
      </w:r>
    </w:p>
  </w:footnote>
  <w:footnote w:type="continuationSeparator" w:id="0">
    <w:p w14:paraId="4261FB35" w14:textId="77777777" w:rsidR="002C574C" w:rsidRDefault="002C574C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D6A"/>
    <w:multiLevelType w:val="hybridMultilevel"/>
    <w:tmpl w:val="9FD8A3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333"/>
    <w:multiLevelType w:val="hybridMultilevel"/>
    <w:tmpl w:val="5A246E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6267">
    <w:abstractNumId w:val="3"/>
  </w:num>
  <w:num w:numId="2" w16cid:durableId="753547326">
    <w:abstractNumId w:val="4"/>
  </w:num>
  <w:num w:numId="3" w16cid:durableId="1599410410">
    <w:abstractNumId w:val="2"/>
  </w:num>
  <w:num w:numId="4" w16cid:durableId="94131009">
    <w:abstractNumId w:val="0"/>
  </w:num>
  <w:num w:numId="5" w16cid:durableId="733813757">
    <w:abstractNumId w:val="1"/>
  </w:num>
  <w:num w:numId="6" w16cid:durableId="790708458">
    <w:abstractNumId w:val="5"/>
  </w:num>
  <w:num w:numId="7" w16cid:durableId="127940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0D"/>
    <w:rsid w:val="000F7521"/>
    <w:rsid w:val="00144893"/>
    <w:rsid w:val="00281128"/>
    <w:rsid w:val="002C48D2"/>
    <w:rsid w:val="002C574C"/>
    <w:rsid w:val="003073BC"/>
    <w:rsid w:val="00371146"/>
    <w:rsid w:val="003E3216"/>
    <w:rsid w:val="0043524F"/>
    <w:rsid w:val="004E28FE"/>
    <w:rsid w:val="00510154"/>
    <w:rsid w:val="00535EBE"/>
    <w:rsid w:val="00541518"/>
    <w:rsid w:val="0054289A"/>
    <w:rsid w:val="005B1000"/>
    <w:rsid w:val="005C52DD"/>
    <w:rsid w:val="00677F7C"/>
    <w:rsid w:val="00697BB9"/>
    <w:rsid w:val="006A52A6"/>
    <w:rsid w:val="006D487A"/>
    <w:rsid w:val="00786C85"/>
    <w:rsid w:val="008076B2"/>
    <w:rsid w:val="00845E39"/>
    <w:rsid w:val="00894309"/>
    <w:rsid w:val="00895E0E"/>
    <w:rsid w:val="008E131F"/>
    <w:rsid w:val="009F464D"/>
    <w:rsid w:val="00A61A10"/>
    <w:rsid w:val="00A87CD8"/>
    <w:rsid w:val="00AE721C"/>
    <w:rsid w:val="00B4496F"/>
    <w:rsid w:val="00C96276"/>
    <w:rsid w:val="00D1059C"/>
    <w:rsid w:val="00D4520D"/>
    <w:rsid w:val="00D775F3"/>
    <w:rsid w:val="00E61432"/>
    <w:rsid w:val="00E71B6D"/>
    <w:rsid w:val="00E86B29"/>
    <w:rsid w:val="00F96381"/>
    <w:rsid w:val="00FE2795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7A607D"/>
  <w15:docId w15:val="{2CAE28B0-3C4B-4B56-86D3-4A8DCBB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KeinLeerraum">
    <w:name w:val="No Spacing"/>
    <w:uiPriority w:val="1"/>
    <w:qFormat/>
    <w:rsid w:val="005C52D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4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3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VJT • Karl-Eckhard Lüdemann • Alte Siedlung 3 • 15306 Seelow</vt:lpstr>
    </vt:vector>
  </TitlesOfParts>
  <Company>Bundesagentur für Arbeit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creator>WeinreicB002</dc:creator>
  <cp:lastModifiedBy>Bettina Weinreich</cp:lastModifiedBy>
  <cp:revision>9</cp:revision>
  <cp:lastPrinted>2012-11-20T10:53:00Z</cp:lastPrinted>
  <dcterms:created xsi:type="dcterms:W3CDTF">2013-09-05T16:46:00Z</dcterms:created>
  <dcterms:modified xsi:type="dcterms:W3CDTF">2022-09-20T13:23:00Z</dcterms:modified>
</cp:coreProperties>
</file>